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927F61" w:rsidRDefault="00927F61" w:rsidP="00927F61">
      <w:pPr>
        <w:spacing w:line="480" w:lineRule="auto"/>
        <w:jc w:val="center"/>
        <w:rPr>
          <w:rFonts w:ascii="Times New Roman" w:hAnsi="Times New Roman" w:cs="Times New Roman"/>
          <w:sz w:val="24"/>
          <w:szCs w:val="24"/>
        </w:rPr>
      </w:pPr>
    </w:p>
    <w:p w:rsidR="00927F61" w:rsidRDefault="00927F61" w:rsidP="00927F61">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A123EE" w:rsidRDefault="00A123EE" w:rsidP="00A123EE">
      <w:pPr>
        <w:spacing w:line="480" w:lineRule="auto"/>
        <w:jc w:val="center"/>
        <w:rPr>
          <w:rFonts w:ascii="Times New Roman" w:hAnsi="Times New Roman" w:cs="Times New Roman"/>
          <w:sz w:val="24"/>
          <w:szCs w:val="24"/>
        </w:rPr>
      </w:pPr>
    </w:p>
    <w:p w:rsidR="00927F61" w:rsidRDefault="00B73F09" w:rsidP="00A123EE">
      <w:pPr>
        <w:spacing w:line="480" w:lineRule="auto"/>
        <w:jc w:val="center"/>
        <w:rPr>
          <w:rFonts w:ascii="Times New Roman" w:hAnsi="Times New Roman" w:cs="Times New Roman"/>
          <w:sz w:val="24"/>
          <w:szCs w:val="24"/>
        </w:rPr>
      </w:pPr>
      <w:r>
        <w:rPr>
          <w:rFonts w:ascii="Times New Roman" w:hAnsi="Times New Roman" w:cs="Times New Roman"/>
          <w:sz w:val="24"/>
          <w:szCs w:val="24"/>
        </w:rPr>
        <w:t>Neve Tzede</w:t>
      </w:r>
      <w:r w:rsidR="00E84AE0">
        <w:rPr>
          <w:rFonts w:ascii="Times New Roman" w:hAnsi="Times New Roman" w:cs="Times New Roman"/>
          <w:sz w:val="24"/>
          <w:szCs w:val="24"/>
        </w:rPr>
        <w:t>k</w:t>
      </w:r>
    </w:p>
    <w:p w:rsidR="00927F61" w:rsidRDefault="00B73F09" w:rsidP="00927F61">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rsidR="00A123EE" w:rsidRDefault="00B73F09" w:rsidP="00927F61">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927F61" w:rsidRPr="00927F61" w:rsidRDefault="00927F61" w:rsidP="00927F61">
      <w:pPr>
        <w:rPr>
          <w:rFonts w:ascii="Times New Roman" w:hAnsi="Times New Roman" w:cs="Times New Roman"/>
          <w:sz w:val="24"/>
          <w:szCs w:val="24"/>
        </w:rPr>
      </w:pPr>
    </w:p>
    <w:p w:rsidR="00927F61" w:rsidRPr="00927F61" w:rsidRDefault="00927F61" w:rsidP="00927F61">
      <w:pPr>
        <w:rPr>
          <w:rFonts w:ascii="Times New Roman" w:hAnsi="Times New Roman" w:cs="Times New Roman"/>
          <w:sz w:val="24"/>
          <w:szCs w:val="24"/>
        </w:rPr>
      </w:pPr>
    </w:p>
    <w:p w:rsidR="00927F61" w:rsidRPr="00927F61" w:rsidRDefault="00927F61" w:rsidP="00927F61">
      <w:pPr>
        <w:rPr>
          <w:rFonts w:ascii="Times New Roman" w:hAnsi="Times New Roman" w:cs="Times New Roman"/>
          <w:sz w:val="24"/>
          <w:szCs w:val="24"/>
        </w:rPr>
      </w:pPr>
    </w:p>
    <w:p w:rsidR="00927F61" w:rsidRPr="00927F61" w:rsidRDefault="00927F61" w:rsidP="00927F61">
      <w:pPr>
        <w:rPr>
          <w:rFonts w:ascii="Times New Roman" w:hAnsi="Times New Roman" w:cs="Times New Roman"/>
          <w:sz w:val="24"/>
          <w:szCs w:val="24"/>
        </w:rPr>
      </w:pPr>
    </w:p>
    <w:p w:rsidR="00927F61" w:rsidRPr="00927F61" w:rsidRDefault="00927F61" w:rsidP="00927F61">
      <w:pPr>
        <w:rPr>
          <w:rFonts w:ascii="Times New Roman" w:hAnsi="Times New Roman" w:cs="Times New Roman"/>
          <w:sz w:val="24"/>
          <w:szCs w:val="24"/>
        </w:rPr>
      </w:pPr>
    </w:p>
    <w:p w:rsidR="00927F61" w:rsidRPr="00927F61" w:rsidRDefault="00927F61" w:rsidP="00927F61">
      <w:pPr>
        <w:rPr>
          <w:rFonts w:ascii="Times New Roman" w:hAnsi="Times New Roman" w:cs="Times New Roman"/>
          <w:sz w:val="24"/>
          <w:szCs w:val="24"/>
        </w:rPr>
      </w:pPr>
    </w:p>
    <w:p w:rsidR="00927F61" w:rsidRDefault="00927F61" w:rsidP="00927F61">
      <w:pPr>
        <w:rPr>
          <w:rFonts w:ascii="Times New Roman" w:hAnsi="Times New Roman" w:cs="Times New Roman"/>
          <w:sz w:val="24"/>
          <w:szCs w:val="24"/>
        </w:rPr>
      </w:pPr>
    </w:p>
    <w:p w:rsidR="00927F61" w:rsidRDefault="00927F61" w:rsidP="00927F61">
      <w:pPr>
        <w:rPr>
          <w:rFonts w:ascii="Times New Roman" w:hAnsi="Times New Roman" w:cs="Times New Roman"/>
          <w:sz w:val="24"/>
          <w:szCs w:val="24"/>
        </w:rPr>
      </w:pPr>
    </w:p>
    <w:p w:rsidR="00927F61" w:rsidRDefault="00927F61" w:rsidP="00927F61">
      <w:pPr>
        <w:rPr>
          <w:rFonts w:ascii="Times New Roman" w:hAnsi="Times New Roman" w:cs="Times New Roman"/>
          <w:sz w:val="24"/>
          <w:szCs w:val="24"/>
        </w:rPr>
      </w:pPr>
    </w:p>
    <w:p w:rsidR="00927F61" w:rsidRDefault="00B73F09" w:rsidP="00A123EE">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Neve Tzedek</w:t>
      </w:r>
    </w:p>
    <w:p w:rsidR="00A123EE" w:rsidRDefault="00B73F09" w:rsidP="00A123E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6E7">
        <w:rPr>
          <w:rFonts w:ascii="Times New Roman" w:hAnsi="Times New Roman" w:cs="Times New Roman"/>
          <w:sz w:val="24"/>
          <w:szCs w:val="24"/>
        </w:rPr>
        <w:tab/>
      </w:r>
      <w:r>
        <w:rPr>
          <w:rFonts w:ascii="Times New Roman" w:hAnsi="Times New Roman" w:cs="Times New Roman"/>
          <w:sz w:val="24"/>
          <w:szCs w:val="24"/>
        </w:rPr>
        <w:t>Neve Tzedek is a</w:t>
      </w:r>
      <w:r w:rsidR="000302A0">
        <w:rPr>
          <w:rFonts w:ascii="Times New Roman" w:hAnsi="Times New Roman" w:cs="Times New Roman"/>
          <w:sz w:val="24"/>
          <w:szCs w:val="24"/>
        </w:rPr>
        <w:t xml:space="preserve"> district in the South Western part of Tel-Aviv and renowned as one of the oldest remnants outside the port of Jada, yet still beautiful. </w:t>
      </w:r>
      <w:r w:rsidR="008C2967">
        <w:rPr>
          <w:rFonts w:ascii="Times New Roman" w:hAnsi="Times New Roman" w:cs="Times New Roman"/>
          <w:sz w:val="24"/>
          <w:szCs w:val="24"/>
        </w:rPr>
        <w:t xml:space="preserve">The name means the “Abode of Justice” </w:t>
      </w:r>
      <w:r w:rsidR="008C0947">
        <w:rPr>
          <w:rFonts w:ascii="Times New Roman" w:hAnsi="Times New Roman" w:cs="Times New Roman"/>
          <w:sz w:val="24"/>
          <w:szCs w:val="24"/>
        </w:rPr>
        <w:t xml:space="preserve">and it sprang as a metropolitan to Jafa twenty-years before Tel-Aviv existed. Therefore, it is regarded as the oldest neighborhood of Tel-Aviv. </w:t>
      </w:r>
      <w:r w:rsidR="000302A0">
        <w:rPr>
          <w:rFonts w:ascii="Times New Roman" w:hAnsi="Times New Roman" w:cs="Times New Roman"/>
          <w:sz w:val="24"/>
          <w:szCs w:val="24"/>
        </w:rPr>
        <w:t xml:space="preserve">The </w:t>
      </w:r>
      <w:r w:rsidR="00E84AE0">
        <w:rPr>
          <w:rFonts w:ascii="Times New Roman" w:hAnsi="Times New Roman" w:cs="Times New Roman"/>
          <w:sz w:val="24"/>
          <w:szCs w:val="24"/>
        </w:rPr>
        <w:t>neighborhood</w:t>
      </w:r>
      <w:r w:rsidR="000302A0">
        <w:rPr>
          <w:rFonts w:ascii="Times New Roman" w:hAnsi="Times New Roman" w:cs="Times New Roman"/>
          <w:sz w:val="24"/>
          <w:szCs w:val="24"/>
        </w:rPr>
        <w:t xml:space="preserve"> is now a booming</w:t>
      </w:r>
      <w:r w:rsidR="00E84AE0">
        <w:rPr>
          <w:rFonts w:ascii="Times New Roman" w:hAnsi="Times New Roman" w:cs="Times New Roman"/>
          <w:sz w:val="24"/>
          <w:szCs w:val="24"/>
        </w:rPr>
        <w:t xml:space="preserve"> economic hub that consists of</w:t>
      </w:r>
      <w:r w:rsidR="000302A0">
        <w:rPr>
          <w:rFonts w:ascii="Times New Roman" w:hAnsi="Times New Roman" w:cs="Times New Roman"/>
          <w:sz w:val="24"/>
          <w:szCs w:val="24"/>
        </w:rPr>
        <w:t xml:space="preserve"> cafes, boutiques, bars, and restaurants and is a major tourist destination in Israel. T</w:t>
      </w:r>
      <w:r w:rsidR="00E84AE0">
        <w:rPr>
          <w:rFonts w:ascii="Times New Roman" w:hAnsi="Times New Roman" w:cs="Times New Roman"/>
          <w:sz w:val="24"/>
          <w:szCs w:val="24"/>
        </w:rPr>
        <w:t>he neighborhood</w:t>
      </w:r>
      <w:r w:rsidR="000302A0">
        <w:rPr>
          <w:rFonts w:ascii="Times New Roman" w:hAnsi="Times New Roman" w:cs="Times New Roman"/>
          <w:sz w:val="24"/>
          <w:szCs w:val="24"/>
        </w:rPr>
        <w:t xml:space="preserve"> was founded by the Mizrahi Jewish family </w:t>
      </w:r>
      <w:r w:rsidR="00E84AE0">
        <w:rPr>
          <w:rFonts w:ascii="Times New Roman" w:hAnsi="Times New Roman" w:cs="Times New Roman"/>
          <w:sz w:val="24"/>
          <w:szCs w:val="24"/>
        </w:rPr>
        <w:t xml:space="preserve">in 1880s </w:t>
      </w:r>
      <w:r w:rsidR="000302A0">
        <w:rPr>
          <w:rFonts w:ascii="Times New Roman" w:hAnsi="Times New Roman" w:cs="Times New Roman"/>
          <w:sz w:val="24"/>
          <w:szCs w:val="24"/>
        </w:rPr>
        <w:t>that moving out of Jafa due to overpopulation</w:t>
      </w:r>
      <w:r w:rsidR="00E84AE0">
        <w:rPr>
          <w:rFonts w:ascii="Times New Roman" w:hAnsi="Times New Roman" w:cs="Times New Roman"/>
          <w:sz w:val="24"/>
          <w:szCs w:val="24"/>
        </w:rPr>
        <w:t xml:space="preserve"> (Israel Ministry of Foreign Affairs, 2019)</w:t>
      </w:r>
      <w:r w:rsidR="000302A0">
        <w:rPr>
          <w:rFonts w:ascii="Times New Roman" w:hAnsi="Times New Roman" w:cs="Times New Roman"/>
          <w:sz w:val="24"/>
          <w:szCs w:val="24"/>
        </w:rPr>
        <w:t xml:space="preserve">. The settlers built new homes and infrastructure that makes up the Neve Tzedek that is admirable today. </w:t>
      </w:r>
      <w:r w:rsidR="00E84AE0">
        <w:rPr>
          <w:rFonts w:ascii="Times New Roman" w:hAnsi="Times New Roman" w:cs="Times New Roman"/>
          <w:sz w:val="24"/>
          <w:szCs w:val="24"/>
        </w:rPr>
        <w:t xml:space="preserve">In this regard, the neighborhood has a rich history and cultural heritage that is integral not only to Israel but the entire region. </w:t>
      </w:r>
      <w:r w:rsidR="000302A0">
        <w:rPr>
          <w:rFonts w:ascii="Times New Roman" w:hAnsi="Times New Roman" w:cs="Times New Roman"/>
          <w:sz w:val="24"/>
          <w:szCs w:val="24"/>
        </w:rPr>
        <w:t>The paper provides a conceptual framework of the reconstruction of the history of Neve Tzedek</w:t>
      </w:r>
      <w:r w:rsidR="00E84AE0">
        <w:rPr>
          <w:rFonts w:ascii="Times New Roman" w:hAnsi="Times New Roman" w:cs="Times New Roman"/>
          <w:sz w:val="24"/>
          <w:szCs w:val="24"/>
        </w:rPr>
        <w:t xml:space="preserve"> as well give insight into the current state of the neighborhood. </w:t>
      </w:r>
      <w:r w:rsidR="000302A0">
        <w:rPr>
          <w:rFonts w:ascii="Times New Roman" w:hAnsi="Times New Roman" w:cs="Times New Roman"/>
          <w:sz w:val="24"/>
          <w:szCs w:val="24"/>
        </w:rPr>
        <w:t xml:space="preserve"> </w:t>
      </w:r>
    </w:p>
    <w:p w:rsidR="00600FAC" w:rsidRDefault="00B73F09" w:rsidP="00A123EE">
      <w:pPr>
        <w:spacing w:line="480" w:lineRule="auto"/>
        <w:rPr>
          <w:rFonts w:ascii="Times New Roman" w:hAnsi="Times New Roman" w:cs="Times New Roman"/>
          <w:b/>
          <w:sz w:val="24"/>
          <w:szCs w:val="24"/>
        </w:rPr>
      </w:pPr>
      <w:r w:rsidRPr="00600FAC">
        <w:rPr>
          <w:rFonts w:ascii="Times New Roman" w:hAnsi="Times New Roman" w:cs="Times New Roman"/>
          <w:b/>
          <w:sz w:val="24"/>
          <w:szCs w:val="24"/>
        </w:rPr>
        <w:t>Historical Reconstruction</w:t>
      </w:r>
    </w:p>
    <w:p w:rsidR="005D59DE" w:rsidRDefault="00B73F09" w:rsidP="00A123EE">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number of Jewish settlers rose in congested slum areas around Jerusalem towards the end of the 19</w:t>
      </w:r>
      <w:r w:rsidRPr="005D59DE">
        <w:rPr>
          <w:rFonts w:ascii="Times New Roman" w:hAnsi="Times New Roman" w:cs="Times New Roman"/>
          <w:sz w:val="24"/>
          <w:szCs w:val="24"/>
          <w:vertAlign w:val="superscript"/>
        </w:rPr>
        <w:t>th</w:t>
      </w:r>
      <w:r>
        <w:rPr>
          <w:rFonts w:ascii="Times New Roman" w:hAnsi="Times New Roman" w:cs="Times New Roman"/>
          <w:sz w:val="24"/>
          <w:szCs w:val="24"/>
        </w:rPr>
        <w:t xml:space="preserve"> century. Neve Tzedek is one of the neighborhoods around the Tel-Aviv and it marked the construction of urbanism beyond the walls of the Old City. In 1886, two merchants known as Eliezer and Simon Rokah left Jafa and started a charitable organization known</w:t>
      </w:r>
      <w:r>
        <w:rPr>
          <w:rFonts w:ascii="Times New Roman" w:hAnsi="Times New Roman" w:cs="Times New Roman"/>
          <w:sz w:val="24"/>
          <w:szCs w:val="24"/>
        </w:rPr>
        <w:t xml:space="preserve"> as Ezrat Israel </w:t>
      </w:r>
      <w:r w:rsidR="003D2BCF">
        <w:rPr>
          <w:rFonts w:ascii="Times New Roman" w:hAnsi="Times New Roman" w:cs="Times New Roman"/>
          <w:sz w:val="24"/>
          <w:szCs w:val="24"/>
        </w:rPr>
        <w:t>that aimed at improving the quality of life of the Jewish community by providing care and educational facilities</w:t>
      </w:r>
      <w:r w:rsidR="00285997">
        <w:rPr>
          <w:rFonts w:ascii="Times New Roman" w:hAnsi="Times New Roman" w:cs="Times New Roman"/>
          <w:sz w:val="24"/>
          <w:szCs w:val="24"/>
        </w:rPr>
        <w:t xml:space="preserve"> (Israel Philatelic Foundation, 2018)</w:t>
      </w:r>
      <w:r w:rsidR="003D2BCF">
        <w:rPr>
          <w:rFonts w:ascii="Times New Roman" w:hAnsi="Times New Roman" w:cs="Times New Roman"/>
          <w:sz w:val="24"/>
          <w:szCs w:val="24"/>
        </w:rPr>
        <w:t xml:space="preserve">. Forty-eight members of the organization created a group called Neve Tzedek that meant "Dwelling-Place of Justice." The group's objective was to establish a construction company that would build houses not only in Jafa but also its neighborhoods. A prominent person from the Sephardi community known as </w:t>
      </w:r>
      <w:r w:rsidR="003D2BCF">
        <w:rPr>
          <w:rFonts w:ascii="Times New Roman" w:hAnsi="Times New Roman" w:cs="Times New Roman"/>
          <w:sz w:val="24"/>
          <w:szCs w:val="24"/>
        </w:rPr>
        <w:lastRenderedPageBreak/>
        <w:t xml:space="preserve">Aharon Chelouche offered </w:t>
      </w:r>
      <w:r w:rsidR="00285997">
        <w:rPr>
          <w:rFonts w:ascii="Times New Roman" w:hAnsi="Times New Roman" w:cs="Times New Roman"/>
          <w:sz w:val="24"/>
          <w:szCs w:val="24"/>
        </w:rPr>
        <w:t>Simon pieces of land near Jafa at reasonable prices. The land was fragmented into forty-eight plots and the construction of the first phase of the neighborhood began. The brothers faced numerous challenges but managed to accomplish the first phase by 1887 and this set the foundation for the construction of the rest of the houses (Israel Philatelic Foundation). Ultimately, the new neighborhood was named after the building company group "Neve Tzedek."</w:t>
      </w:r>
    </w:p>
    <w:p w:rsidR="00285997" w:rsidRDefault="00B73F09" w:rsidP="00C546DB">
      <w:pPr>
        <w:spacing w:line="480" w:lineRule="auto"/>
        <w:ind w:firstLine="720"/>
        <w:rPr>
          <w:rFonts w:ascii="Times New Roman" w:hAnsi="Times New Roman" w:cs="Times New Roman"/>
          <w:sz w:val="24"/>
          <w:szCs w:val="24"/>
        </w:rPr>
      </w:pPr>
      <w:r>
        <w:rPr>
          <w:rFonts w:ascii="Times New Roman" w:hAnsi="Times New Roman" w:cs="Times New Roman"/>
          <w:sz w:val="24"/>
          <w:szCs w:val="24"/>
        </w:rPr>
        <w:t>From an infrastructural standpoint, the neighborhood was laid out in three</w:t>
      </w:r>
      <w:r>
        <w:rPr>
          <w:rFonts w:ascii="Times New Roman" w:hAnsi="Times New Roman" w:cs="Times New Roman"/>
          <w:sz w:val="24"/>
          <w:szCs w:val="24"/>
        </w:rPr>
        <w:t xml:space="preserve"> rows that spread throughout the entire space. The house</w:t>
      </w:r>
      <w:r w:rsidR="000E0D9E">
        <w:rPr>
          <w:rFonts w:ascii="Times New Roman" w:hAnsi="Times New Roman" w:cs="Times New Roman"/>
          <w:sz w:val="24"/>
          <w:szCs w:val="24"/>
        </w:rPr>
        <w:t>s</w:t>
      </w:r>
      <w:r>
        <w:rPr>
          <w:rFonts w:ascii="Times New Roman" w:hAnsi="Times New Roman" w:cs="Times New Roman"/>
          <w:sz w:val="24"/>
          <w:szCs w:val="24"/>
        </w:rPr>
        <w:t xml:space="preserve"> were joined to promote security in the neighborhood</w:t>
      </w:r>
      <w:r w:rsidR="000E0D9E">
        <w:rPr>
          <w:rFonts w:ascii="Times New Roman" w:hAnsi="Times New Roman" w:cs="Times New Roman"/>
          <w:sz w:val="24"/>
          <w:szCs w:val="24"/>
        </w:rPr>
        <w:t xml:space="preserve">. Each house had two rooms as well as kitchen spaces and front yards. Additional structural facilities such as wells were dug to ensure that every household had access to water. Synagogues were built alongside the estates and unlike the Old City, the residents had peasantry roots and the houses were described as “Parisian.” </w:t>
      </w:r>
      <w:r w:rsidR="004F5629">
        <w:rPr>
          <w:rFonts w:ascii="Times New Roman" w:hAnsi="Times New Roman" w:cs="Times New Roman"/>
          <w:sz w:val="24"/>
          <w:szCs w:val="24"/>
        </w:rPr>
        <w:t>Simon became the head of the neighborhood committee and wealth persons from Jaffa constructed mansions nearby the estates. Jewish life revolved around the settlement since it enabled educational, political, and cultural opportunities. The neighborhood paved way for other urban centers such as Neve Shalom in 18</w:t>
      </w:r>
      <w:r w:rsidR="00660A14">
        <w:rPr>
          <w:rFonts w:ascii="Times New Roman" w:hAnsi="Times New Roman" w:cs="Times New Roman"/>
          <w:sz w:val="24"/>
          <w:szCs w:val="24"/>
        </w:rPr>
        <w:t>90 (Israel Philatelic Federation</w:t>
      </w:r>
      <w:r w:rsidR="004F5629">
        <w:rPr>
          <w:rFonts w:ascii="Times New Roman" w:hAnsi="Times New Roman" w:cs="Times New Roman"/>
          <w:sz w:val="24"/>
          <w:szCs w:val="24"/>
        </w:rPr>
        <w:t xml:space="preserve">, 2018). </w:t>
      </w:r>
      <w:r w:rsidR="00C546DB">
        <w:rPr>
          <w:rFonts w:ascii="Times New Roman" w:hAnsi="Times New Roman" w:cs="Times New Roman"/>
          <w:sz w:val="24"/>
          <w:szCs w:val="24"/>
        </w:rPr>
        <w:t>Besides, the buildings had elements of art from Nouveau and Bauhaus. The neighborhood is characterized by art and artistry that formed the basis for its birth. Among the immigrants to the neighborhood were artists and writers. Artists such as Shmuel Yosef Agnon and Nachum Gutman are renowned for their excellent pieces of art.</w:t>
      </w:r>
    </w:p>
    <w:p w:rsidR="00660A14" w:rsidRDefault="00B73F09" w:rsidP="00C546DB">
      <w:pPr>
        <w:spacing w:line="480" w:lineRule="auto"/>
        <w:ind w:firstLine="720"/>
        <w:rPr>
          <w:rFonts w:ascii="Times New Roman" w:hAnsi="Times New Roman" w:cs="Times New Roman"/>
          <w:sz w:val="24"/>
          <w:szCs w:val="24"/>
        </w:rPr>
      </w:pPr>
      <w:r>
        <w:rPr>
          <w:rStyle w:val="FootnoteReference"/>
          <w:rFonts w:ascii="Times New Roman" w:hAnsi="Times New Roman" w:cs="Times New Roman"/>
          <w:sz w:val="24"/>
          <w:szCs w:val="24"/>
        </w:rPr>
        <w:footnoteReference w:id="1"/>
      </w:r>
    </w:p>
    <w:p w:rsidR="004F5629" w:rsidRPr="005D59DE" w:rsidRDefault="00B73F09" w:rsidP="00A123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ab/>
        <w:t>In the wake of the 2</w:t>
      </w:r>
      <w:r w:rsidRPr="004F5629">
        <w:rPr>
          <w:rFonts w:ascii="Times New Roman" w:hAnsi="Times New Roman" w:cs="Times New Roman"/>
          <w:sz w:val="24"/>
          <w:szCs w:val="24"/>
          <w:vertAlign w:val="superscript"/>
        </w:rPr>
        <w:t>nd</w:t>
      </w:r>
      <w:r>
        <w:rPr>
          <w:rFonts w:ascii="Times New Roman" w:hAnsi="Times New Roman" w:cs="Times New Roman"/>
          <w:sz w:val="24"/>
          <w:szCs w:val="24"/>
        </w:rPr>
        <w:t xml:space="preserve"> Aliyah (1904-1918), massive immigration of Jewish families from Russia occurred. As a result, Neve Tzedek and other similar neighborhood at</w:t>
      </w:r>
      <w:r>
        <w:rPr>
          <w:rFonts w:ascii="Times New Roman" w:hAnsi="Times New Roman" w:cs="Times New Roman"/>
          <w:sz w:val="24"/>
          <w:szCs w:val="24"/>
        </w:rPr>
        <w:t>tracted writers and intellectuals such as Dvora Baron, Shay Agnon, Ben Zion, and Yosef Haim Brenner who contributed significantly to journals such as Ha-Omer and Hapoel Hatza’ir</w:t>
      </w:r>
      <w:r w:rsidR="00C546DB">
        <w:rPr>
          <w:rFonts w:ascii="Times New Roman" w:hAnsi="Times New Roman" w:cs="Times New Roman"/>
          <w:sz w:val="24"/>
          <w:szCs w:val="24"/>
        </w:rPr>
        <w:t xml:space="preserve"> (Israel Philatelic Foundation, 2018). Also, schools were built in the district to teach both French and Hebrew and the educational framework continued to expand as more people settled in the neighborhood (Tel-Aviv Insider, n. d). In this regard, Hebrew Schools such as Alliance and Hovevei Zion emerged and provided education for both boys and girls. The development of Neve Tzedek led to the rabbi of Jaffa, Rav Kook, to settle in the area to support educational activities that Simon had started. </w:t>
      </w:r>
    </w:p>
    <w:p w:rsidR="00430A4B" w:rsidRDefault="00B73F09" w:rsidP="00A123EE">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Mizrahi settlement into the neighborhood was not by chance since they have </w:t>
      </w:r>
      <w:r w:rsidR="00CA1D56">
        <w:rPr>
          <w:rFonts w:ascii="Times New Roman" w:hAnsi="Times New Roman" w:cs="Times New Roman"/>
          <w:sz w:val="24"/>
          <w:szCs w:val="24"/>
        </w:rPr>
        <w:t xml:space="preserve">a </w:t>
      </w:r>
      <w:r>
        <w:rPr>
          <w:rFonts w:ascii="Times New Roman" w:hAnsi="Times New Roman" w:cs="Times New Roman"/>
          <w:sz w:val="24"/>
          <w:szCs w:val="24"/>
        </w:rPr>
        <w:t>historical, social,</w:t>
      </w:r>
      <w:r w:rsidR="00CA1D56">
        <w:rPr>
          <w:rFonts w:ascii="Times New Roman" w:hAnsi="Times New Roman" w:cs="Times New Roman"/>
          <w:sz w:val="24"/>
          <w:szCs w:val="24"/>
        </w:rPr>
        <w:t xml:space="preserve"> political, and cultural </w:t>
      </w:r>
      <w:r w:rsidR="00600FAC">
        <w:rPr>
          <w:rFonts w:ascii="Times New Roman" w:hAnsi="Times New Roman" w:cs="Times New Roman"/>
          <w:sz w:val="24"/>
          <w:szCs w:val="24"/>
        </w:rPr>
        <w:t>background</w:t>
      </w:r>
      <w:r w:rsidR="00CA1D56">
        <w:rPr>
          <w:rFonts w:ascii="Times New Roman" w:hAnsi="Times New Roman" w:cs="Times New Roman"/>
          <w:sz w:val="24"/>
          <w:szCs w:val="24"/>
        </w:rPr>
        <w:t xml:space="preserve"> that was significant to its development. The Ashkenazi society rejected the Mizrahi family and their discrimination became prevalent in the Israel social organization. In this regard, Neve Tzedek was a safe haven to the Mizrahi as they tried to </w:t>
      </w:r>
      <w:r w:rsidR="0074249D">
        <w:rPr>
          <w:rFonts w:ascii="Times New Roman" w:hAnsi="Times New Roman" w:cs="Times New Roman"/>
          <w:sz w:val="24"/>
          <w:szCs w:val="24"/>
        </w:rPr>
        <w:t xml:space="preserve">achieve acceptance </w:t>
      </w:r>
      <w:r w:rsidR="00CA1D56">
        <w:rPr>
          <w:rFonts w:ascii="Times New Roman" w:hAnsi="Times New Roman" w:cs="Times New Roman"/>
          <w:sz w:val="24"/>
          <w:szCs w:val="24"/>
        </w:rPr>
        <w:t xml:space="preserve">into the Israelite </w:t>
      </w:r>
      <w:r w:rsidR="0074249D">
        <w:rPr>
          <w:rFonts w:ascii="Times New Roman" w:hAnsi="Times New Roman" w:cs="Times New Roman"/>
          <w:sz w:val="24"/>
          <w:szCs w:val="24"/>
        </w:rPr>
        <w:t xml:space="preserve">society since they lived in a place where </w:t>
      </w:r>
      <w:r w:rsidR="00CA1D56">
        <w:rPr>
          <w:rFonts w:ascii="Times New Roman" w:hAnsi="Times New Roman" w:cs="Times New Roman"/>
          <w:sz w:val="24"/>
          <w:szCs w:val="24"/>
        </w:rPr>
        <w:t xml:space="preserve">they were not alienated and oppressed. Also, the Mizrahi tried to disintegrate social and economic inequalities that existed in Jafa. The </w:t>
      </w:r>
      <w:r w:rsidR="00E42B77">
        <w:rPr>
          <w:rFonts w:ascii="Times New Roman" w:hAnsi="Times New Roman" w:cs="Times New Roman"/>
          <w:sz w:val="24"/>
          <w:szCs w:val="24"/>
        </w:rPr>
        <w:t>Ashkenazi</w:t>
      </w:r>
      <w:r w:rsidR="00CA1D56">
        <w:rPr>
          <w:rFonts w:ascii="Times New Roman" w:hAnsi="Times New Roman" w:cs="Times New Roman"/>
          <w:sz w:val="24"/>
          <w:szCs w:val="24"/>
        </w:rPr>
        <w:t xml:space="preserve"> Jews </w:t>
      </w:r>
      <w:r w:rsidR="0074249D">
        <w:rPr>
          <w:rFonts w:ascii="Times New Roman" w:hAnsi="Times New Roman" w:cs="Times New Roman"/>
          <w:sz w:val="24"/>
          <w:szCs w:val="24"/>
        </w:rPr>
        <w:t>maintained privileges in Jafa and disregarded the wellbeing of the Mizrahi family</w:t>
      </w:r>
      <w:r w:rsidR="00600FAC">
        <w:rPr>
          <w:rFonts w:ascii="Times New Roman" w:hAnsi="Times New Roman" w:cs="Times New Roman"/>
          <w:sz w:val="24"/>
          <w:szCs w:val="24"/>
        </w:rPr>
        <w:t xml:space="preserve"> (Danielle, 2019)</w:t>
      </w:r>
      <w:r w:rsidR="0074249D">
        <w:rPr>
          <w:rFonts w:ascii="Times New Roman" w:hAnsi="Times New Roman" w:cs="Times New Roman"/>
          <w:sz w:val="24"/>
          <w:szCs w:val="24"/>
        </w:rPr>
        <w:t>. The differentiation of the Israelite society into classes led to the formation of the neighborhood and it is not surprising that the Mizrahi family chose the place as their best settlement destination.</w:t>
      </w:r>
    </w:p>
    <w:p w:rsidR="004D4A73" w:rsidRDefault="00B73F09" w:rsidP="00A123EE">
      <w:pPr>
        <w:spacing w:line="480" w:lineRule="auto"/>
        <w:rPr>
          <w:rFonts w:ascii="Times New Roman" w:hAnsi="Times New Roman" w:cs="Times New Roman"/>
          <w:sz w:val="24"/>
          <w:szCs w:val="24"/>
        </w:rPr>
      </w:pPr>
      <w:r>
        <w:rPr>
          <w:rStyle w:val="FootnoteReference"/>
          <w:rFonts w:ascii="Times New Roman" w:hAnsi="Times New Roman" w:cs="Times New Roman"/>
          <w:sz w:val="24"/>
          <w:szCs w:val="24"/>
        </w:rPr>
        <w:footnoteReference w:id="2"/>
      </w:r>
    </w:p>
    <w:p w:rsidR="0074249D" w:rsidRDefault="00B73F09" w:rsidP="00A123EE">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 </w:t>
      </w:r>
      <w:r w:rsidR="005266E7">
        <w:rPr>
          <w:rFonts w:ascii="Times New Roman" w:hAnsi="Times New Roman" w:cs="Times New Roman"/>
          <w:sz w:val="24"/>
          <w:szCs w:val="24"/>
        </w:rPr>
        <w:tab/>
      </w:r>
      <w:r>
        <w:rPr>
          <w:rFonts w:ascii="Times New Roman" w:hAnsi="Times New Roman" w:cs="Times New Roman"/>
          <w:sz w:val="24"/>
          <w:szCs w:val="24"/>
        </w:rPr>
        <w:t xml:space="preserve">Moreover, the marginalization and exploitation of the Mizrahi family were reflected in the growth of the neighborhood since the social setting was not class-oriented. Social justice and </w:t>
      </w:r>
      <w:r>
        <w:rPr>
          <w:rFonts w:ascii="Times New Roman" w:hAnsi="Times New Roman" w:cs="Times New Roman"/>
          <w:sz w:val="24"/>
          <w:szCs w:val="24"/>
        </w:rPr>
        <w:t xml:space="preserve">equality were upheld and it helped to disintegrate the inferiority complex that had taken root in Israel. </w:t>
      </w:r>
      <w:r w:rsidR="00437DAF">
        <w:rPr>
          <w:rFonts w:ascii="Times New Roman" w:hAnsi="Times New Roman" w:cs="Times New Roman"/>
          <w:sz w:val="24"/>
          <w:szCs w:val="24"/>
        </w:rPr>
        <w:t xml:space="preserve">Neve Tzedek was another impoverished neighborhood that highlighted the asymmetry between the Ashkenazi and Mizrahi families, but its growth showed that Israel was in the right direction to promoting equity and equality. Historical evidence shows that the Mizrahi family occupied the most impoverished neighborhood during this period and the growth of Neve Tzedek was due to the Tent Movement that had the country by storm (Daniele, 2019). The movement was described as socio-urban activism that aimed at uplifting the economically and socially-oppressed persons in the grassroots. The neighborhood epitomized the significance of the movement since took into account </w:t>
      </w:r>
      <w:r w:rsidR="00600FAC">
        <w:rPr>
          <w:rFonts w:ascii="Times New Roman" w:hAnsi="Times New Roman" w:cs="Times New Roman"/>
          <w:sz w:val="24"/>
          <w:szCs w:val="24"/>
        </w:rPr>
        <w:t>social issues such as education, housing, and care delivery. Local issues became evident in the neighborhood, but the difference with other places is that the residents were striving to find long-term solutions. Macro-level development was the major metric that propagated the growth of the neighborhood.</w:t>
      </w:r>
    </w:p>
    <w:p w:rsidR="00660A14" w:rsidRDefault="00B73F09" w:rsidP="00A123EE">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5266E7">
        <w:rPr>
          <w:rFonts w:ascii="Times New Roman" w:hAnsi="Times New Roman" w:cs="Times New Roman"/>
          <w:sz w:val="24"/>
          <w:szCs w:val="24"/>
        </w:rPr>
        <w:tab/>
      </w:r>
      <w:bookmarkStart w:id="0" w:name="_GoBack"/>
      <w:bookmarkEnd w:id="0"/>
      <w:r>
        <w:rPr>
          <w:rFonts w:ascii="Times New Roman" w:hAnsi="Times New Roman" w:cs="Times New Roman"/>
          <w:sz w:val="24"/>
          <w:szCs w:val="24"/>
        </w:rPr>
        <w:t xml:space="preserve">In spite of the Tent Movement, the Israeli Black Panthers played an integral part in the development of the neighborhood. The movement was popular among Jewish immigrants into the Neve Tzedek and other </w:t>
      </w:r>
      <w:r>
        <w:rPr>
          <w:rFonts w:ascii="Times New Roman" w:hAnsi="Times New Roman" w:cs="Times New Roman"/>
          <w:sz w:val="24"/>
          <w:szCs w:val="24"/>
        </w:rPr>
        <w:t>parts of Jerusalem</w:t>
      </w:r>
      <w:r w:rsidR="002F57AE">
        <w:rPr>
          <w:rFonts w:ascii="Times New Roman" w:hAnsi="Times New Roman" w:cs="Times New Roman"/>
          <w:sz w:val="24"/>
          <w:szCs w:val="24"/>
        </w:rPr>
        <w:t xml:space="preserve">. The movement’s supporters carried out demonstrations on the streets demanding for the equity for the marginalized individuals. The movement collaborated with the Israeli National Worker’s Union to enable the participation of persons in national activities such as elections (Danielle, 2019). The agitation for radical reforms made the neighborhood a political hub that championed the agenda of the Mizrahi community. The place protected the community from discrimination in education, housing, and employment. Most importantly, it ensured that public resources were distributed to all the citizens regardless </w:t>
      </w:r>
      <w:r w:rsidR="002F57AE">
        <w:rPr>
          <w:rFonts w:ascii="Times New Roman" w:hAnsi="Times New Roman" w:cs="Times New Roman"/>
          <w:sz w:val="24"/>
          <w:szCs w:val="24"/>
        </w:rPr>
        <w:lastRenderedPageBreak/>
        <w:t>of their ethnic or socioeconomic orientations. Overall, the neighborhood was a place where the underprivileged Mizrahi family lived in harmony and shared their struggles with each other.</w:t>
      </w:r>
    </w:p>
    <w:p w:rsidR="008C0947" w:rsidRDefault="00B73F09" w:rsidP="00E84AE0">
      <w:pPr>
        <w:spacing w:line="480" w:lineRule="auto"/>
        <w:rPr>
          <w:rFonts w:ascii="Times New Roman" w:hAnsi="Times New Roman" w:cs="Times New Roman"/>
          <w:sz w:val="24"/>
          <w:szCs w:val="24"/>
        </w:rPr>
      </w:pPr>
      <w:r>
        <w:rPr>
          <w:rFonts w:ascii="Times New Roman" w:hAnsi="Times New Roman" w:cs="Times New Roman"/>
          <w:sz w:val="24"/>
          <w:szCs w:val="24"/>
        </w:rPr>
        <w:tab/>
      </w:r>
      <w:r w:rsidR="00E84AE0">
        <w:rPr>
          <w:rFonts w:ascii="Times New Roman" w:hAnsi="Times New Roman" w:cs="Times New Roman"/>
          <w:sz w:val="24"/>
          <w:szCs w:val="24"/>
        </w:rPr>
        <w:t>The Jewish families in the city were followed by the settlement of more immigrants in the 1990s since the urbanization in Jafa was overwhelming, and it was only inevitable that it spread to its neighborhood.</w:t>
      </w:r>
      <w:r w:rsidR="008C2967">
        <w:rPr>
          <w:rFonts w:ascii="Times New Roman" w:hAnsi="Times New Roman" w:cs="Times New Roman"/>
          <w:sz w:val="24"/>
          <w:szCs w:val="24"/>
        </w:rPr>
        <w:t xml:space="preserve"> The residents constructed lo</w:t>
      </w:r>
      <w:r>
        <w:rPr>
          <w:rFonts w:ascii="Times New Roman" w:hAnsi="Times New Roman" w:cs="Times New Roman"/>
          <w:sz w:val="24"/>
          <w:szCs w:val="24"/>
        </w:rPr>
        <w:t>w-rise houses along narrow path</w:t>
      </w:r>
      <w:r w:rsidR="008C2967">
        <w:rPr>
          <w:rFonts w:ascii="Times New Roman" w:hAnsi="Times New Roman" w:cs="Times New Roman"/>
          <w:sz w:val="24"/>
          <w:szCs w:val="24"/>
        </w:rPr>
        <w:t xml:space="preserve">ways. </w:t>
      </w:r>
      <w:r>
        <w:rPr>
          <w:rFonts w:ascii="Times New Roman" w:hAnsi="Times New Roman" w:cs="Times New Roman"/>
          <w:sz w:val="24"/>
          <w:szCs w:val="24"/>
        </w:rPr>
        <w:t>However, the focus shifted from Neve Tzedek as development started to shift from Jafa to other parts of Israel. The settlements were abandoned and most of the buildings depreciated due to la</w:t>
      </w:r>
      <w:r>
        <w:rPr>
          <w:rFonts w:ascii="Times New Roman" w:hAnsi="Times New Roman" w:cs="Times New Roman"/>
          <w:sz w:val="24"/>
          <w:szCs w:val="24"/>
        </w:rPr>
        <w:t>ck of maintenance.</w:t>
      </w:r>
      <w:r w:rsidR="00430A4B">
        <w:rPr>
          <w:rFonts w:ascii="Times New Roman" w:hAnsi="Times New Roman" w:cs="Times New Roman"/>
          <w:sz w:val="24"/>
          <w:szCs w:val="24"/>
        </w:rPr>
        <w:t xml:space="preserve"> </w:t>
      </w:r>
      <w:r w:rsidR="000F3D4B">
        <w:rPr>
          <w:rFonts w:ascii="Times New Roman" w:hAnsi="Times New Roman" w:cs="Times New Roman"/>
          <w:sz w:val="24"/>
          <w:szCs w:val="24"/>
        </w:rPr>
        <w:t xml:space="preserve"> The urban question depicted the way of life of different ethnic groups in the mixed cities and Tel-Aviv is no exception (Tzfadia, 2011). </w:t>
      </w:r>
      <w:r w:rsidR="00430A4B">
        <w:rPr>
          <w:rFonts w:ascii="Times New Roman" w:hAnsi="Times New Roman" w:cs="Times New Roman"/>
          <w:sz w:val="24"/>
          <w:szCs w:val="24"/>
        </w:rPr>
        <w:t xml:space="preserve">Consequently, it turned into a slum and it needed significant reconstruction to make it sustain its former beauty. </w:t>
      </w:r>
    </w:p>
    <w:p w:rsidR="000F3D4B" w:rsidRDefault="00B73F09" w:rsidP="00E84AE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Furthermore, the mass exit from the city was escalated by the high cost of living that made </w:t>
      </w:r>
      <w:r w:rsidR="005D59DE">
        <w:rPr>
          <w:rFonts w:ascii="Times New Roman" w:hAnsi="Times New Roman" w:cs="Times New Roman"/>
          <w:sz w:val="24"/>
          <w:szCs w:val="24"/>
        </w:rPr>
        <w:t xml:space="preserve">many businesses to close. </w:t>
      </w:r>
      <w:r w:rsidR="00C546DB">
        <w:rPr>
          <w:rFonts w:ascii="Times New Roman" w:hAnsi="Times New Roman" w:cs="Times New Roman"/>
          <w:sz w:val="24"/>
          <w:szCs w:val="24"/>
        </w:rPr>
        <w:t>More spacious neighborhoods such as Ahuzat Bayit sprang and acted as magnets for persons seeking even more opportunities that were available in Neve Tzedek</w:t>
      </w:r>
      <w:r w:rsidR="00437239">
        <w:rPr>
          <w:rFonts w:ascii="Times New Roman" w:hAnsi="Times New Roman" w:cs="Times New Roman"/>
          <w:sz w:val="24"/>
          <w:szCs w:val="24"/>
        </w:rPr>
        <w:t xml:space="preserve"> (Israel Philatelic Foundation, 2018). Persons gradually abandoned the neighborhood and the results were a neglected area that was on the brink of decline. The neighborhood was not residentially-viable since it experienced hostility from their neighbors, Jafa. The neglect of neighborhood continued into the 1970s that marked the emergence of the new city of Tel-Aviv. </w:t>
      </w:r>
    </w:p>
    <w:p w:rsidR="00660A14" w:rsidRDefault="00B73F09" w:rsidP="00E84AE0">
      <w:pPr>
        <w:spacing w:line="480" w:lineRule="auto"/>
        <w:rPr>
          <w:rFonts w:ascii="Times New Roman" w:hAnsi="Times New Roman" w:cs="Times New Roman"/>
          <w:sz w:val="24"/>
          <w:szCs w:val="24"/>
        </w:rPr>
      </w:pPr>
      <w:r>
        <w:rPr>
          <w:rStyle w:val="FootnoteReference"/>
          <w:rFonts w:ascii="Times New Roman" w:hAnsi="Times New Roman" w:cs="Times New Roman"/>
          <w:sz w:val="24"/>
          <w:szCs w:val="24"/>
        </w:rPr>
        <w:footnoteReference w:id="3"/>
      </w:r>
    </w:p>
    <w:p w:rsidR="00660A14" w:rsidRDefault="00660A14" w:rsidP="00E84AE0">
      <w:pPr>
        <w:spacing w:line="480" w:lineRule="auto"/>
        <w:rPr>
          <w:rFonts w:ascii="Times New Roman" w:hAnsi="Times New Roman" w:cs="Times New Roman"/>
          <w:sz w:val="24"/>
          <w:szCs w:val="24"/>
        </w:rPr>
      </w:pPr>
    </w:p>
    <w:p w:rsidR="00660A14" w:rsidRDefault="00660A14" w:rsidP="00E84AE0">
      <w:pPr>
        <w:spacing w:line="480" w:lineRule="auto"/>
        <w:rPr>
          <w:rFonts w:ascii="Times New Roman" w:hAnsi="Times New Roman" w:cs="Times New Roman"/>
          <w:sz w:val="24"/>
          <w:szCs w:val="24"/>
        </w:rPr>
      </w:pPr>
    </w:p>
    <w:p w:rsidR="00927F61" w:rsidRDefault="00B73F09" w:rsidP="00E84AE0">
      <w:pPr>
        <w:spacing w:line="480" w:lineRule="auto"/>
        <w:rPr>
          <w:rFonts w:ascii="Times New Roman" w:hAnsi="Times New Roman" w:cs="Times New Roman"/>
          <w:b/>
          <w:sz w:val="24"/>
          <w:szCs w:val="24"/>
        </w:rPr>
      </w:pPr>
      <w:r w:rsidRPr="00437239">
        <w:rPr>
          <w:rFonts w:ascii="Times New Roman" w:hAnsi="Times New Roman" w:cs="Times New Roman"/>
          <w:b/>
          <w:sz w:val="24"/>
          <w:szCs w:val="24"/>
        </w:rPr>
        <w:lastRenderedPageBreak/>
        <w:t>Curr</w:t>
      </w:r>
      <w:r w:rsidRPr="00437239">
        <w:rPr>
          <w:rFonts w:ascii="Times New Roman" w:hAnsi="Times New Roman" w:cs="Times New Roman"/>
          <w:b/>
          <w:sz w:val="24"/>
          <w:szCs w:val="24"/>
        </w:rPr>
        <w:t>ent State</w:t>
      </w:r>
    </w:p>
    <w:p w:rsidR="008F0202" w:rsidRDefault="00B73F09" w:rsidP="00E84AE0">
      <w:pPr>
        <w:spacing w:line="480" w:lineRule="auto"/>
        <w:rPr>
          <w:rFonts w:ascii="Times New Roman" w:hAnsi="Times New Roman" w:cs="Times New Roman"/>
          <w:sz w:val="24"/>
          <w:szCs w:val="24"/>
        </w:rPr>
      </w:pPr>
      <w:r>
        <w:rPr>
          <w:rFonts w:ascii="Times New Roman" w:hAnsi="Times New Roman" w:cs="Times New Roman"/>
          <w:b/>
          <w:sz w:val="24"/>
          <w:szCs w:val="24"/>
        </w:rPr>
        <w:tab/>
      </w:r>
      <w:r>
        <w:rPr>
          <w:rFonts w:ascii="Times New Roman" w:hAnsi="Times New Roman" w:cs="Times New Roman"/>
          <w:sz w:val="24"/>
          <w:szCs w:val="24"/>
        </w:rPr>
        <w:t>The situation of Neve Tzedek turned in the 1980s when the local government started intensive revival operations that saw many of the renovations of many buildings in the neighborhood. In this regard, the area is characterized by numerous shops t</w:t>
      </w:r>
      <w:r>
        <w:rPr>
          <w:rFonts w:ascii="Times New Roman" w:hAnsi="Times New Roman" w:cs="Times New Roman"/>
          <w:sz w:val="24"/>
          <w:szCs w:val="24"/>
        </w:rPr>
        <w:t xml:space="preserve">hat deal in boutique services, crafts, and galleries. The narrow streets form intricate fixtures </w:t>
      </w:r>
      <w:r w:rsidR="002A45D1">
        <w:rPr>
          <w:rFonts w:ascii="Times New Roman" w:hAnsi="Times New Roman" w:cs="Times New Roman"/>
          <w:sz w:val="24"/>
          <w:szCs w:val="24"/>
        </w:rPr>
        <w:t xml:space="preserve">that enable commerce as well as social activities. Clothing stores and esthetic galleries are the major business in the neighborhood, and they contribute to the larger Tel-Aviv economy. From a cultural standpoint, there are small gardens and parks that are widespread within the area and at the heart of it is the Suzanne Dellal Center. The center is essential since it hosts modern and classical dance performances. </w:t>
      </w:r>
      <w:r w:rsidR="00F643CE">
        <w:rPr>
          <w:rFonts w:ascii="Times New Roman" w:hAnsi="Times New Roman" w:cs="Times New Roman"/>
          <w:sz w:val="24"/>
          <w:szCs w:val="24"/>
        </w:rPr>
        <w:t>Notably, it is constructed using Bauhaus architectural design and it is a goldmine to architect students and enthusiasts.</w:t>
      </w:r>
      <w:r w:rsidR="00922ED3">
        <w:rPr>
          <w:rFonts w:ascii="Times New Roman" w:hAnsi="Times New Roman" w:cs="Times New Roman"/>
          <w:sz w:val="24"/>
          <w:szCs w:val="24"/>
        </w:rPr>
        <w:tab/>
      </w:r>
      <w:r>
        <w:rPr>
          <w:rFonts w:ascii="Times New Roman" w:hAnsi="Times New Roman" w:cs="Times New Roman"/>
          <w:sz w:val="24"/>
          <w:szCs w:val="24"/>
        </w:rPr>
        <w:t xml:space="preserve">The Sagit Goldin is a place that depicts the lifestyle and the design of the Jews. The furniture is modeled based on Scandinavian </w:t>
      </w:r>
      <w:r>
        <w:rPr>
          <w:rFonts w:ascii="Times New Roman" w:hAnsi="Times New Roman" w:cs="Times New Roman"/>
          <w:sz w:val="24"/>
          <w:szCs w:val="24"/>
        </w:rPr>
        <w:t>style and residents have access to tasteful accessories and fashions. Shopping in this area is fantastic since soothing music can be heard in the background accompanied by a breeze. The spectacular feature of the neighborhood has made Neve Tzedek to be lab</w:t>
      </w:r>
      <w:r>
        <w:rPr>
          <w:rFonts w:ascii="Times New Roman" w:hAnsi="Times New Roman" w:cs="Times New Roman"/>
          <w:sz w:val="24"/>
          <w:szCs w:val="24"/>
        </w:rPr>
        <w:t>eled as a "village within a city."</w:t>
      </w:r>
    </w:p>
    <w:p w:rsidR="00922ED3" w:rsidRDefault="00B73F09" w:rsidP="008F0202">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Moreover, there are restaurants and eateries that provide traditional Jewish delicacies as well as European and Mediterranean cuisines. Renowned restaurants include Meshek Barzilay and Popina that provide excellent meals </w:t>
      </w:r>
      <w:r>
        <w:rPr>
          <w:rFonts w:ascii="Times New Roman" w:hAnsi="Times New Roman" w:cs="Times New Roman"/>
          <w:sz w:val="24"/>
          <w:szCs w:val="24"/>
        </w:rPr>
        <w:t>as well as drinks such as wine. Apart from restaurants, there are bars such as Dallal and Bicicletta that contribute to the fun side of the neighborhood.</w:t>
      </w:r>
      <w:r w:rsidR="00F643CE">
        <w:rPr>
          <w:rFonts w:ascii="Times New Roman" w:hAnsi="Times New Roman" w:cs="Times New Roman"/>
          <w:sz w:val="24"/>
          <w:szCs w:val="24"/>
        </w:rPr>
        <w:t xml:space="preserve"> Therefore, it has become a major tourist destination since it is less hectic than Tel Aviv and provides peaceful and quiet environments. Overall, it provides a booming tourist environment that consists of shopping, craftsmanship, and eating joints. The streets are characterized by beautiful buildings and esthetic galleries.</w:t>
      </w:r>
      <w:r w:rsidR="008F0202" w:rsidRPr="008F0202">
        <w:rPr>
          <w:rFonts w:ascii="Times New Roman" w:hAnsi="Times New Roman" w:cs="Times New Roman"/>
          <w:sz w:val="24"/>
          <w:szCs w:val="24"/>
        </w:rPr>
        <w:t xml:space="preserve"> </w:t>
      </w:r>
      <w:r w:rsidR="008F0202">
        <w:rPr>
          <w:rFonts w:ascii="Times New Roman" w:hAnsi="Times New Roman" w:cs="Times New Roman"/>
          <w:sz w:val="24"/>
          <w:szCs w:val="24"/>
        </w:rPr>
        <w:t xml:space="preserve">Electric cafes and art galleries are on the periphery to </w:t>
      </w:r>
      <w:r w:rsidR="008F0202">
        <w:rPr>
          <w:rFonts w:ascii="Times New Roman" w:hAnsi="Times New Roman" w:cs="Times New Roman"/>
          <w:sz w:val="24"/>
          <w:szCs w:val="24"/>
        </w:rPr>
        <w:lastRenderedPageBreak/>
        <w:t xml:space="preserve">provide entertainment to the residents as well as the visitors.  Besides, there are other iconic places such as the historical Rokah House, Nachum Gutman Museum, and Clouche House Gallery. (Tel Aviv Insider, 2019). The establishments epitomize the cultural heritage of the area based on foods and architectural designs.  </w:t>
      </w:r>
      <w:r>
        <w:rPr>
          <w:rFonts w:ascii="Times New Roman" w:hAnsi="Times New Roman" w:cs="Times New Roman"/>
          <w:sz w:val="24"/>
          <w:szCs w:val="24"/>
        </w:rPr>
        <w:t xml:space="preserve"> The place has restored its former appeal and artists, as well as writers, are returning to</w:t>
      </w:r>
      <w:r w:rsidR="00F643CE">
        <w:rPr>
          <w:rFonts w:ascii="Times New Roman" w:hAnsi="Times New Roman" w:cs="Times New Roman"/>
          <w:sz w:val="24"/>
          <w:szCs w:val="24"/>
        </w:rPr>
        <w:t xml:space="preserve"> contribute to its development. </w:t>
      </w:r>
    </w:p>
    <w:p w:rsidR="00E42B77" w:rsidRDefault="00B73F09" w:rsidP="008F0202">
      <w:pPr>
        <w:spacing w:line="480" w:lineRule="auto"/>
        <w:ind w:firstLine="720"/>
        <w:rPr>
          <w:rFonts w:ascii="Times New Roman" w:hAnsi="Times New Roman" w:cs="Times New Roman"/>
          <w:sz w:val="24"/>
          <w:szCs w:val="24"/>
        </w:rPr>
      </w:pPr>
      <w:r>
        <w:rPr>
          <w:rFonts w:ascii="Times New Roman" w:hAnsi="Times New Roman" w:cs="Times New Roman"/>
          <w:sz w:val="24"/>
          <w:szCs w:val="24"/>
        </w:rPr>
        <w:t>In conclusion, Neve Tzedek is an old neigh</w:t>
      </w:r>
      <w:r>
        <w:rPr>
          <w:rFonts w:ascii="Times New Roman" w:hAnsi="Times New Roman" w:cs="Times New Roman"/>
          <w:sz w:val="24"/>
          <w:szCs w:val="24"/>
        </w:rPr>
        <w:t>borhood that existed way before Tel Aviv existed and it has remained a social, economic, and political hub despite the challenges it has experienced over the years. The neighborhood was founded by the two brothers from Jafa who had ambitions of constructin</w:t>
      </w:r>
      <w:r>
        <w:rPr>
          <w:rFonts w:ascii="Times New Roman" w:hAnsi="Times New Roman" w:cs="Times New Roman"/>
          <w:sz w:val="24"/>
          <w:szCs w:val="24"/>
        </w:rPr>
        <w:t xml:space="preserve">g it to become a major settlement area. They aimed at providing equal employment, educational, and care services to the residents. The infrastructure within the neighborhood incorporated elements of art. The neighborhood had majorly Mizrahi Jews that were </w:t>
      </w:r>
      <w:r>
        <w:rPr>
          <w:rFonts w:ascii="Times New Roman" w:hAnsi="Times New Roman" w:cs="Times New Roman"/>
          <w:sz w:val="24"/>
          <w:szCs w:val="24"/>
        </w:rPr>
        <w:t xml:space="preserve">despised by the Ashkenazi due to their poor socio-economic status. Neve Tzedek was a safe haven to the Jews since they were not discriminated and they had equal opportunities to social amenities. However, the neighborhood collapsed in the 1990s due to the </w:t>
      </w:r>
      <w:r>
        <w:rPr>
          <w:rFonts w:ascii="Times New Roman" w:hAnsi="Times New Roman" w:cs="Times New Roman"/>
          <w:sz w:val="24"/>
          <w:szCs w:val="24"/>
        </w:rPr>
        <w:t>high cost of living; consequently, becoming deserted. Local government reconstruction has led it to thrive again as it boasts of shops, restaurants, bars, and historical sites that are major tourist attractions.</w:t>
      </w:r>
    </w:p>
    <w:p w:rsidR="00E42B77" w:rsidRDefault="00E42B77" w:rsidP="008F0202">
      <w:pPr>
        <w:spacing w:line="480" w:lineRule="auto"/>
        <w:ind w:firstLine="720"/>
        <w:rPr>
          <w:rFonts w:ascii="Times New Roman" w:hAnsi="Times New Roman" w:cs="Times New Roman"/>
          <w:sz w:val="24"/>
          <w:szCs w:val="24"/>
        </w:rPr>
      </w:pPr>
    </w:p>
    <w:p w:rsidR="00E42B77" w:rsidRDefault="00E42B77" w:rsidP="008F0202">
      <w:pPr>
        <w:spacing w:line="480" w:lineRule="auto"/>
        <w:ind w:firstLine="720"/>
        <w:rPr>
          <w:rFonts w:ascii="Times New Roman" w:hAnsi="Times New Roman" w:cs="Times New Roman"/>
          <w:sz w:val="24"/>
          <w:szCs w:val="24"/>
        </w:rPr>
      </w:pPr>
    </w:p>
    <w:p w:rsidR="00E42B77" w:rsidRDefault="00E42B77" w:rsidP="004D4A73">
      <w:pPr>
        <w:spacing w:line="480" w:lineRule="auto"/>
        <w:rPr>
          <w:rFonts w:ascii="Times New Roman" w:hAnsi="Times New Roman" w:cs="Times New Roman"/>
          <w:sz w:val="24"/>
          <w:szCs w:val="24"/>
        </w:rPr>
      </w:pPr>
    </w:p>
    <w:p w:rsidR="004D4A73" w:rsidRDefault="004D4A73" w:rsidP="004D4A73">
      <w:pPr>
        <w:spacing w:line="480" w:lineRule="auto"/>
        <w:rPr>
          <w:rFonts w:ascii="Times New Roman" w:hAnsi="Times New Roman" w:cs="Times New Roman"/>
          <w:sz w:val="24"/>
          <w:szCs w:val="24"/>
        </w:rPr>
      </w:pPr>
    </w:p>
    <w:p w:rsidR="00E42B77" w:rsidRDefault="00E42B77" w:rsidP="008F0202">
      <w:pPr>
        <w:spacing w:line="480" w:lineRule="auto"/>
        <w:ind w:firstLine="720"/>
        <w:rPr>
          <w:rFonts w:ascii="Times New Roman" w:hAnsi="Times New Roman" w:cs="Times New Roman"/>
          <w:sz w:val="24"/>
          <w:szCs w:val="24"/>
        </w:rPr>
      </w:pPr>
    </w:p>
    <w:p w:rsidR="008F0202" w:rsidRDefault="00B73F09" w:rsidP="00E42B77">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 xml:space="preserve">Danielle, G. (2019). </w:t>
      </w:r>
      <w:r>
        <w:rPr>
          <w:rFonts w:ascii="Times New Roman" w:hAnsi="Times New Roman" w:cs="Times New Roman"/>
          <w:sz w:val="24"/>
          <w:szCs w:val="24"/>
        </w:rPr>
        <w:t>Political and social protests from the margins: The role of Mizrahi Jews in</w:t>
      </w:r>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Israeli grassroots activism. Etnografica, 23(1). </w:t>
      </w:r>
    </w:p>
    <w:p w:rsidR="00E42B77" w:rsidRDefault="00B73F09" w:rsidP="00E42B77">
      <w:pPr>
        <w:spacing w:line="480" w:lineRule="auto"/>
        <w:rPr>
          <w:rFonts w:ascii="Times New Roman" w:hAnsi="Times New Roman" w:cs="Times New Roman"/>
          <w:sz w:val="24"/>
          <w:szCs w:val="24"/>
        </w:rPr>
      </w:pPr>
      <w:r>
        <w:rPr>
          <w:rFonts w:ascii="Times New Roman" w:hAnsi="Times New Roman" w:cs="Times New Roman"/>
          <w:sz w:val="24"/>
          <w:szCs w:val="24"/>
        </w:rPr>
        <w:t>Israel Ministry of Foreign Affairs. (2010). Hip and the historical Neve Tzedek. Retrieved from</w:t>
      </w:r>
    </w:p>
    <w:p w:rsidR="00E42B77" w:rsidRDefault="00B73F09" w:rsidP="00E42B77">
      <w:pPr>
        <w:spacing w:line="480" w:lineRule="auto"/>
        <w:ind w:left="720"/>
        <w:rPr>
          <w:rFonts w:ascii="Times New Roman" w:hAnsi="Times New Roman" w:cs="Times New Roman"/>
          <w:sz w:val="24"/>
          <w:szCs w:val="24"/>
        </w:rPr>
      </w:pPr>
      <w:hyperlink r:id="rId8" w:history="1">
        <w:r w:rsidRPr="005C6302">
          <w:rPr>
            <w:rStyle w:val="Hyperlink"/>
            <w:rFonts w:ascii="Times New Roman" w:hAnsi="Times New Roman" w:cs="Times New Roman"/>
            <w:sz w:val="24"/>
            <w:szCs w:val="24"/>
          </w:rPr>
          <w:t>https://mfa.gov.il/MFA/IsraelExperience/Pages/Hip_historical_Neve_Tzedek_22-Jun-2010.aspx</w:t>
        </w:r>
      </w:hyperlink>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Israel Philatelic Federation. (2018). Article- 120 years Neve Zedek. Retrieved from</w:t>
      </w:r>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9" w:history="1">
        <w:r w:rsidRPr="007C4F24">
          <w:rPr>
            <w:rStyle w:val="Hyperlink"/>
            <w:rFonts w:ascii="Times New Roman" w:hAnsi="Times New Roman" w:cs="Times New Roman"/>
            <w:sz w:val="24"/>
            <w:szCs w:val="24"/>
          </w:rPr>
          <w:t>http://israelphilately.org.il/en/catalog/articles/849/120%20Years%20Neve%20Zedek</w:t>
        </w:r>
      </w:hyperlink>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Tel Aviv Insider. (n. d). Neve Tzedek. Retrieved from</w:t>
      </w:r>
    </w:p>
    <w:p w:rsidR="007C4F24" w:rsidRDefault="00B73F09" w:rsidP="007C4F24">
      <w:pPr>
        <w:spacing w:line="480" w:lineRule="auto"/>
        <w:rPr>
          <w:rFonts w:ascii="Times New Roman" w:hAnsi="Times New Roman" w:cs="Times New Roman"/>
          <w:sz w:val="24"/>
          <w:szCs w:val="24"/>
        </w:rPr>
      </w:pPr>
      <w:r>
        <w:rPr>
          <w:rFonts w:ascii="Times New Roman" w:hAnsi="Times New Roman" w:cs="Times New Roman"/>
          <w:sz w:val="24"/>
          <w:szCs w:val="24"/>
        </w:rPr>
        <w:tab/>
      </w:r>
      <w:hyperlink r:id="rId10" w:history="1">
        <w:r w:rsidRPr="007C4F24">
          <w:rPr>
            <w:rStyle w:val="Hyperlink"/>
            <w:rFonts w:ascii="Times New Roman" w:hAnsi="Times New Roman" w:cs="Times New Roman"/>
            <w:sz w:val="24"/>
            <w:szCs w:val="24"/>
          </w:rPr>
          <w:t>https://www.telaviv-insider.co.il/neve-tzedek/</w:t>
        </w:r>
      </w:hyperlink>
    </w:p>
    <w:p w:rsidR="00E42B77" w:rsidRDefault="00B73F09" w:rsidP="00E42B77">
      <w:pPr>
        <w:spacing w:line="480" w:lineRule="auto"/>
        <w:rPr>
          <w:rFonts w:ascii="Times New Roman" w:hAnsi="Times New Roman" w:cs="Times New Roman"/>
          <w:sz w:val="24"/>
          <w:szCs w:val="24"/>
        </w:rPr>
      </w:pPr>
      <w:r>
        <w:rPr>
          <w:rFonts w:ascii="Times New Roman" w:hAnsi="Times New Roman" w:cs="Times New Roman"/>
          <w:sz w:val="24"/>
          <w:szCs w:val="24"/>
        </w:rPr>
        <w:t>Tzfadia, E. (2011). Mixed cities in Israel: Localities and contentions.</w:t>
      </w:r>
      <w:r w:rsidR="007C4F24">
        <w:rPr>
          <w:rFonts w:ascii="Times New Roman" w:hAnsi="Times New Roman" w:cs="Times New Roman"/>
          <w:sz w:val="24"/>
          <w:szCs w:val="24"/>
        </w:rPr>
        <w:t xml:space="preserve"> </w:t>
      </w:r>
      <w:r w:rsidR="007C4F24" w:rsidRPr="007C4F24">
        <w:rPr>
          <w:rFonts w:ascii="Times New Roman" w:hAnsi="Times New Roman" w:cs="Times New Roman"/>
          <w:i/>
          <w:sz w:val="24"/>
          <w:szCs w:val="24"/>
        </w:rPr>
        <w:t>Israel Studies Review</w:t>
      </w:r>
      <w:r w:rsidR="007C4F24">
        <w:rPr>
          <w:rFonts w:ascii="Times New Roman" w:hAnsi="Times New Roman" w:cs="Times New Roman"/>
          <w:sz w:val="24"/>
          <w:szCs w:val="24"/>
        </w:rPr>
        <w:t xml:space="preserve">, </w:t>
      </w:r>
    </w:p>
    <w:p w:rsidR="007C4F24" w:rsidRPr="00437239" w:rsidRDefault="00B73F09" w:rsidP="00E42B77">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26(1), 153-165. </w:t>
      </w:r>
    </w:p>
    <w:sectPr w:rsidR="007C4F24" w:rsidRPr="00437239" w:rsidSect="00927F61">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73F09" w:rsidRDefault="00B73F09">
      <w:pPr>
        <w:spacing w:after="0" w:line="240" w:lineRule="auto"/>
      </w:pPr>
      <w:r>
        <w:separator/>
      </w:r>
    </w:p>
  </w:endnote>
  <w:endnote w:type="continuationSeparator" w:id="0">
    <w:p w:rsidR="00B73F09" w:rsidRDefault="00B73F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73F09" w:rsidRDefault="00B73F09" w:rsidP="00927F61">
      <w:pPr>
        <w:spacing w:after="0" w:line="240" w:lineRule="auto"/>
      </w:pPr>
      <w:r>
        <w:separator/>
      </w:r>
    </w:p>
  </w:footnote>
  <w:footnote w:type="continuationSeparator" w:id="0">
    <w:p w:rsidR="00B73F09" w:rsidRDefault="00B73F09" w:rsidP="00927F61">
      <w:pPr>
        <w:spacing w:after="0" w:line="240" w:lineRule="auto"/>
      </w:pPr>
      <w:r>
        <w:continuationSeparator/>
      </w:r>
    </w:p>
  </w:footnote>
  <w:footnote w:id="1">
    <w:p w:rsidR="00660A14" w:rsidRPr="00660A14" w:rsidRDefault="00B73F09" w:rsidP="00660A14">
      <w:pPr>
        <w:pStyle w:val="FootnoteText"/>
        <w:spacing w:line="480" w:lineRule="auto"/>
        <w:rPr>
          <w:rFonts w:ascii="Times New Roman" w:hAnsi="Times New Roman" w:cs="Times New Roman"/>
          <w:sz w:val="24"/>
          <w:szCs w:val="24"/>
        </w:rPr>
      </w:pPr>
      <w:r w:rsidRPr="00660A14">
        <w:rPr>
          <w:rStyle w:val="FootnoteReference"/>
          <w:rFonts w:ascii="Times New Roman" w:hAnsi="Times New Roman" w:cs="Times New Roman"/>
          <w:sz w:val="24"/>
          <w:szCs w:val="24"/>
        </w:rPr>
        <w:footnoteRef/>
      </w:r>
      <w:r w:rsidRPr="00660A14">
        <w:rPr>
          <w:rFonts w:ascii="Times New Roman" w:hAnsi="Times New Roman" w:cs="Times New Roman"/>
          <w:sz w:val="24"/>
          <w:szCs w:val="24"/>
        </w:rPr>
        <w:t xml:space="preserve"> Israel Philatelic Federation, 2018: n. p</w:t>
      </w:r>
    </w:p>
  </w:footnote>
  <w:footnote w:id="2">
    <w:p w:rsidR="004D4A73" w:rsidRPr="004D4A73" w:rsidRDefault="00B73F09" w:rsidP="004D4A73">
      <w:pPr>
        <w:pStyle w:val="FootnoteText"/>
        <w:spacing w:line="480" w:lineRule="auto"/>
        <w:rPr>
          <w:rFonts w:ascii="Times New Roman" w:hAnsi="Times New Roman" w:cs="Times New Roman"/>
          <w:sz w:val="24"/>
          <w:szCs w:val="24"/>
        </w:rPr>
      </w:pPr>
      <w:r w:rsidRPr="004D4A73">
        <w:rPr>
          <w:rStyle w:val="FootnoteReference"/>
          <w:rFonts w:ascii="Times New Roman" w:hAnsi="Times New Roman" w:cs="Times New Roman"/>
          <w:sz w:val="24"/>
          <w:szCs w:val="24"/>
        </w:rPr>
        <w:footnoteRef/>
      </w:r>
      <w:r w:rsidRPr="004D4A73">
        <w:rPr>
          <w:rFonts w:ascii="Times New Roman" w:hAnsi="Times New Roman" w:cs="Times New Roman"/>
          <w:sz w:val="24"/>
          <w:szCs w:val="24"/>
        </w:rPr>
        <w:t xml:space="preserve"> Danielle, 2019: pp. n. p</w:t>
      </w:r>
    </w:p>
  </w:footnote>
  <w:footnote w:id="3">
    <w:p w:rsidR="00660A14" w:rsidRPr="004D4A73" w:rsidRDefault="00B73F09" w:rsidP="004D4A73">
      <w:pPr>
        <w:pStyle w:val="FootnoteText"/>
        <w:spacing w:line="480" w:lineRule="auto"/>
        <w:rPr>
          <w:rFonts w:ascii="Times New Roman" w:hAnsi="Times New Roman" w:cs="Times New Roman"/>
          <w:sz w:val="24"/>
          <w:szCs w:val="24"/>
        </w:rPr>
      </w:pPr>
      <w:r>
        <w:rPr>
          <w:rStyle w:val="FootnoteReference"/>
        </w:rPr>
        <w:footnoteRef/>
      </w:r>
      <w:r>
        <w:t xml:space="preserve"> </w:t>
      </w:r>
      <w:r w:rsidR="004D4A73" w:rsidRPr="004D4A73">
        <w:rPr>
          <w:rFonts w:ascii="Times New Roman" w:hAnsi="Times New Roman" w:cs="Times New Roman"/>
          <w:sz w:val="24"/>
          <w:szCs w:val="24"/>
        </w:rPr>
        <w:t>Tzafadia, 2011: pp. 161</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202" w:rsidRPr="00A123EE" w:rsidRDefault="00B73F09" w:rsidP="00A123EE">
    <w:pPr>
      <w:pStyle w:val="Header"/>
      <w:spacing w:line="480" w:lineRule="auto"/>
      <w:rPr>
        <w:rFonts w:ascii="Times New Roman" w:hAnsi="Times New Roman" w:cs="Times New Roman"/>
        <w:sz w:val="24"/>
        <w:szCs w:val="24"/>
      </w:rPr>
    </w:pPr>
    <w:r w:rsidRPr="00A123EE">
      <w:rPr>
        <w:rFonts w:ascii="Times New Roman" w:hAnsi="Times New Roman" w:cs="Times New Roman"/>
        <w:sz w:val="24"/>
        <w:szCs w:val="24"/>
      </w:rPr>
      <w:t xml:space="preserve">NEVE TZEDEK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1209690122"/>
        <w:docPartObj>
          <w:docPartGallery w:val="Page Numbers (Top of Page)"/>
          <w:docPartUnique/>
        </w:docPartObj>
      </w:sdtPr>
      <w:sdtEndPr>
        <w:rPr>
          <w:noProof/>
        </w:rPr>
      </w:sdtEndPr>
      <w:sdtContent>
        <w:r w:rsidRPr="00A123EE">
          <w:rPr>
            <w:rFonts w:ascii="Times New Roman" w:hAnsi="Times New Roman" w:cs="Times New Roman"/>
            <w:sz w:val="24"/>
            <w:szCs w:val="24"/>
          </w:rPr>
          <w:fldChar w:fldCharType="begin"/>
        </w:r>
        <w:r w:rsidRPr="00A123EE">
          <w:rPr>
            <w:rFonts w:ascii="Times New Roman" w:hAnsi="Times New Roman" w:cs="Times New Roman"/>
            <w:sz w:val="24"/>
            <w:szCs w:val="24"/>
          </w:rPr>
          <w:instrText xml:space="preserve"> PAGE   \* MERGEFORMAT </w:instrText>
        </w:r>
        <w:r w:rsidRPr="00A123EE">
          <w:rPr>
            <w:rFonts w:ascii="Times New Roman" w:hAnsi="Times New Roman" w:cs="Times New Roman"/>
            <w:sz w:val="24"/>
            <w:szCs w:val="24"/>
          </w:rPr>
          <w:fldChar w:fldCharType="separate"/>
        </w:r>
        <w:r w:rsidR="005266E7">
          <w:rPr>
            <w:rFonts w:ascii="Times New Roman" w:hAnsi="Times New Roman" w:cs="Times New Roman"/>
            <w:noProof/>
            <w:sz w:val="24"/>
            <w:szCs w:val="24"/>
          </w:rPr>
          <w:t>8</w:t>
        </w:r>
        <w:r w:rsidRPr="00A123EE">
          <w:rPr>
            <w:rFonts w:ascii="Times New Roman" w:hAnsi="Times New Roman" w:cs="Times New Roman"/>
            <w:noProof/>
            <w:sz w:val="24"/>
            <w:szCs w:val="24"/>
          </w:rPr>
          <w:fldChar w:fldCharType="end"/>
        </w:r>
      </w:sdtContent>
    </w:sdt>
  </w:p>
  <w:p w:rsidR="008F0202" w:rsidRDefault="008F020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8F0202" w:rsidRPr="00A123EE" w:rsidRDefault="00B73F09" w:rsidP="00A123EE">
    <w:pPr>
      <w:pStyle w:val="Header"/>
      <w:spacing w:line="480" w:lineRule="auto"/>
      <w:rPr>
        <w:rFonts w:ascii="Times New Roman" w:hAnsi="Times New Roman" w:cs="Times New Roman"/>
        <w:sz w:val="24"/>
        <w:szCs w:val="24"/>
      </w:rPr>
    </w:pPr>
    <w:r w:rsidRPr="00A123EE">
      <w:rPr>
        <w:rFonts w:ascii="Times New Roman" w:hAnsi="Times New Roman" w:cs="Times New Roman"/>
        <w:sz w:val="24"/>
        <w:szCs w:val="24"/>
      </w:rPr>
      <w:t xml:space="preserve">Running head: NEVE TZEDEK </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sdt>
      <w:sdtPr>
        <w:rPr>
          <w:rFonts w:ascii="Times New Roman" w:hAnsi="Times New Roman" w:cs="Times New Roman"/>
          <w:sz w:val="24"/>
          <w:szCs w:val="24"/>
        </w:rPr>
        <w:id w:val="556661094"/>
        <w:docPartObj>
          <w:docPartGallery w:val="Page Numbers (Top of Page)"/>
          <w:docPartUnique/>
        </w:docPartObj>
      </w:sdtPr>
      <w:sdtEndPr>
        <w:rPr>
          <w:noProof/>
        </w:rPr>
      </w:sdtEndPr>
      <w:sdtContent>
        <w:r w:rsidRPr="00A123EE">
          <w:rPr>
            <w:rFonts w:ascii="Times New Roman" w:hAnsi="Times New Roman" w:cs="Times New Roman"/>
            <w:sz w:val="24"/>
            <w:szCs w:val="24"/>
          </w:rPr>
          <w:fldChar w:fldCharType="begin"/>
        </w:r>
        <w:r w:rsidRPr="00A123EE">
          <w:rPr>
            <w:rFonts w:ascii="Times New Roman" w:hAnsi="Times New Roman" w:cs="Times New Roman"/>
            <w:sz w:val="24"/>
            <w:szCs w:val="24"/>
          </w:rPr>
          <w:instrText xml:space="preserve"> PAGE   \* MERGEFORMAT </w:instrText>
        </w:r>
        <w:r w:rsidRPr="00A123EE">
          <w:rPr>
            <w:rFonts w:ascii="Times New Roman" w:hAnsi="Times New Roman" w:cs="Times New Roman"/>
            <w:sz w:val="24"/>
            <w:szCs w:val="24"/>
          </w:rPr>
          <w:fldChar w:fldCharType="separate"/>
        </w:r>
        <w:r w:rsidR="005266E7">
          <w:rPr>
            <w:rFonts w:ascii="Times New Roman" w:hAnsi="Times New Roman" w:cs="Times New Roman"/>
            <w:noProof/>
            <w:sz w:val="24"/>
            <w:szCs w:val="24"/>
          </w:rPr>
          <w:t>1</w:t>
        </w:r>
        <w:r w:rsidRPr="00A123EE">
          <w:rPr>
            <w:rFonts w:ascii="Times New Roman" w:hAnsi="Times New Roman" w:cs="Times New Roman"/>
            <w:noProof/>
            <w:sz w:val="24"/>
            <w:szCs w:val="24"/>
          </w:rPr>
          <w:fldChar w:fldCharType="end"/>
        </w:r>
      </w:sdtContent>
    </w:sdt>
  </w:p>
  <w:p w:rsidR="008F0202" w:rsidRDefault="008F020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27F61"/>
    <w:rsid w:val="000302A0"/>
    <w:rsid w:val="000E0D9E"/>
    <w:rsid w:val="000F3D4B"/>
    <w:rsid w:val="001D2666"/>
    <w:rsid w:val="00285997"/>
    <w:rsid w:val="002A45D1"/>
    <w:rsid w:val="002F57AE"/>
    <w:rsid w:val="003D2BCF"/>
    <w:rsid w:val="00430A4B"/>
    <w:rsid w:val="00437239"/>
    <w:rsid w:val="00437DAF"/>
    <w:rsid w:val="004D4A73"/>
    <w:rsid w:val="004F5629"/>
    <w:rsid w:val="005266E7"/>
    <w:rsid w:val="005C6302"/>
    <w:rsid w:val="005D59DE"/>
    <w:rsid w:val="00600FAC"/>
    <w:rsid w:val="00660A14"/>
    <w:rsid w:val="0074249D"/>
    <w:rsid w:val="007C4F24"/>
    <w:rsid w:val="008B5D08"/>
    <w:rsid w:val="008C0947"/>
    <w:rsid w:val="008C2967"/>
    <w:rsid w:val="008F0202"/>
    <w:rsid w:val="00922ED3"/>
    <w:rsid w:val="00927F61"/>
    <w:rsid w:val="00A123EE"/>
    <w:rsid w:val="00B73F09"/>
    <w:rsid w:val="00BD4F4E"/>
    <w:rsid w:val="00C546DB"/>
    <w:rsid w:val="00CA1D56"/>
    <w:rsid w:val="00D263A2"/>
    <w:rsid w:val="00E42B77"/>
    <w:rsid w:val="00E57B61"/>
    <w:rsid w:val="00E84AE0"/>
    <w:rsid w:val="00F643CE"/>
    <w:rsid w:val="00FD6A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F61"/>
  </w:style>
  <w:style w:type="paragraph" w:styleId="Footer">
    <w:name w:val="footer"/>
    <w:basedOn w:val="Normal"/>
    <w:link w:val="FooterChar"/>
    <w:uiPriority w:val="99"/>
    <w:unhideWhenUsed/>
    <w:rsid w:val="00927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F61"/>
  </w:style>
  <w:style w:type="character" w:styleId="Hyperlink">
    <w:name w:val="Hyperlink"/>
    <w:basedOn w:val="DefaultParagraphFont"/>
    <w:uiPriority w:val="99"/>
    <w:unhideWhenUsed/>
    <w:rsid w:val="00E42B77"/>
    <w:rPr>
      <w:color w:val="0000FF" w:themeColor="hyperlink"/>
      <w:u w:val="single"/>
    </w:rPr>
  </w:style>
  <w:style w:type="paragraph" w:styleId="EndnoteText">
    <w:name w:val="endnote text"/>
    <w:basedOn w:val="Normal"/>
    <w:link w:val="EndnoteTextChar"/>
    <w:uiPriority w:val="99"/>
    <w:semiHidden/>
    <w:unhideWhenUsed/>
    <w:rsid w:val="00660A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0A14"/>
    <w:rPr>
      <w:sz w:val="20"/>
      <w:szCs w:val="20"/>
    </w:rPr>
  </w:style>
  <w:style w:type="character" w:styleId="EndnoteReference">
    <w:name w:val="endnote reference"/>
    <w:basedOn w:val="DefaultParagraphFont"/>
    <w:uiPriority w:val="99"/>
    <w:semiHidden/>
    <w:unhideWhenUsed/>
    <w:rsid w:val="00660A14"/>
    <w:rPr>
      <w:vertAlign w:val="superscript"/>
    </w:rPr>
  </w:style>
  <w:style w:type="paragraph" w:styleId="FootnoteText">
    <w:name w:val="footnote text"/>
    <w:basedOn w:val="Normal"/>
    <w:link w:val="FootnoteTextChar"/>
    <w:uiPriority w:val="99"/>
    <w:semiHidden/>
    <w:unhideWhenUsed/>
    <w:rsid w:val="00660A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0A14"/>
    <w:rPr>
      <w:sz w:val="20"/>
      <w:szCs w:val="20"/>
    </w:rPr>
  </w:style>
  <w:style w:type="character" w:styleId="FootnoteReference">
    <w:name w:val="footnote reference"/>
    <w:basedOn w:val="DefaultParagraphFont"/>
    <w:uiPriority w:val="99"/>
    <w:semiHidden/>
    <w:unhideWhenUsed/>
    <w:rsid w:val="00660A14"/>
    <w:rPr>
      <w:vertAlign w:val="superscript"/>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927F61"/>
    <w:pPr>
      <w:tabs>
        <w:tab w:val="center" w:pos="4680"/>
        <w:tab w:val="right" w:pos="9360"/>
      </w:tabs>
      <w:spacing w:after="0" w:line="240" w:lineRule="auto"/>
    </w:pPr>
  </w:style>
  <w:style w:type="character" w:customStyle="1" w:styleId="HeaderChar">
    <w:name w:val="Header Char"/>
    <w:basedOn w:val="DefaultParagraphFont"/>
    <w:link w:val="Header"/>
    <w:uiPriority w:val="99"/>
    <w:rsid w:val="00927F61"/>
  </w:style>
  <w:style w:type="paragraph" w:styleId="Footer">
    <w:name w:val="footer"/>
    <w:basedOn w:val="Normal"/>
    <w:link w:val="FooterChar"/>
    <w:uiPriority w:val="99"/>
    <w:unhideWhenUsed/>
    <w:rsid w:val="00927F61"/>
    <w:pPr>
      <w:tabs>
        <w:tab w:val="center" w:pos="4680"/>
        <w:tab w:val="right" w:pos="9360"/>
      </w:tabs>
      <w:spacing w:after="0" w:line="240" w:lineRule="auto"/>
    </w:pPr>
  </w:style>
  <w:style w:type="character" w:customStyle="1" w:styleId="FooterChar">
    <w:name w:val="Footer Char"/>
    <w:basedOn w:val="DefaultParagraphFont"/>
    <w:link w:val="Footer"/>
    <w:uiPriority w:val="99"/>
    <w:rsid w:val="00927F61"/>
  </w:style>
  <w:style w:type="character" w:styleId="Hyperlink">
    <w:name w:val="Hyperlink"/>
    <w:basedOn w:val="DefaultParagraphFont"/>
    <w:uiPriority w:val="99"/>
    <w:unhideWhenUsed/>
    <w:rsid w:val="00E42B77"/>
    <w:rPr>
      <w:color w:val="0000FF" w:themeColor="hyperlink"/>
      <w:u w:val="single"/>
    </w:rPr>
  </w:style>
  <w:style w:type="paragraph" w:styleId="EndnoteText">
    <w:name w:val="endnote text"/>
    <w:basedOn w:val="Normal"/>
    <w:link w:val="EndnoteTextChar"/>
    <w:uiPriority w:val="99"/>
    <w:semiHidden/>
    <w:unhideWhenUsed/>
    <w:rsid w:val="00660A14"/>
    <w:pPr>
      <w:spacing w:after="0" w:line="240" w:lineRule="auto"/>
    </w:pPr>
    <w:rPr>
      <w:sz w:val="20"/>
      <w:szCs w:val="20"/>
    </w:rPr>
  </w:style>
  <w:style w:type="character" w:customStyle="1" w:styleId="EndnoteTextChar">
    <w:name w:val="Endnote Text Char"/>
    <w:basedOn w:val="DefaultParagraphFont"/>
    <w:link w:val="EndnoteText"/>
    <w:uiPriority w:val="99"/>
    <w:semiHidden/>
    <w:rsid w:val="00660A14"/>
    <w:rPr>
      <w:sz w:val="20"/>
      <w:szCs w:val="20"/>
    </w:rPr>
  </w:style>
  <w:style w:type="character" w:styleId="EndnoteReference">
    <w:name w:val="endnote reference"/>
    <w:basedOn w:val="DefaultParagraphFont"/>
    <w:uiPriority w:val="99"/>
    <w:semiHidden/>
    <w:unhideWhenUsed/>
    <w:rsid w:val="00660A14"/>
    <w:rPr>
      <w:vertAlign w:val="superscript"/>
    </w:rPr>
  </w:style>
  <w:style w:type="paragraph" w:styleId="FootnoteText">
    <w:name w:val="footnote text"/>
    <w:basedOn w:val="Normal"/>
    <w:link w:val="FootnoteTextChar"/>
    <w:uiPriority w:val="99"/>
    <w:semiHidden/>
    <w:unhideWhenUsed/>
    <w:rsid w:val="00660A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660A14"/>
    <w:rPr>
      <w:sz w:val="20"/>
      <w:szCs w:val="20"/>
    </w:rPr>
  </w:style>
  <w:style w:type="character" w:styleId="FootnoteReference">
    <w:name w:val="footnote reference"/>
    <w:basedOn w:val="DefaultParagraphFont"/>
    <w:uiPriority w:val="99"/>
    <w:semiHidden/>
    <w:unhideWhenUsed/>
    <w:rsid w:val="00660A14"/>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mfa.gov.il/MFA/IsraelExperience/Pages/Hip_historical_Neve_Tzedek_22-Jun-2010.aspx"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elaviv-insider.co.il/neve-tzedek/" TargetMode="External"/><Relationship Id="rId4" Type="http://schemas.openxmlformats.org/officeDocument/2006/relationships/settings" Target="settings.xml"/><Relationship Id="rId9" Type="http://schemas.openxmlformats.org/officeDocument/2006/relationships/hyperlink" Target="http://israelphilately.org.il/en/catalog/articles/849/120%20Years%20Neve%20Zede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11561F8-2204-40C0-AFD6-BB8900088E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310</TotalTime>
  <Pages>9</Pages>
  <Words>2032</Words>
  <Characters>11587</Characters>
  <Application>Microsoft Office Word</Application>
  <DocSecurity>0</DocSecurity>
  <Lines>96</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13592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Windows User</cp:lastModifiedBy>
  <cp:revision>4</cp:revision>
  <dcterms:created xsi:type="dcterms:W3CDTF">2019-05-31T18:12:00Z</dcterms:created>
  <dcterms:modified xsi:type="dcterms:W3CDTF">2019-05-31T23:28:00Z</dcterms:modified>
</cp:coreProperties>
</file>